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17" w:rsidRPr="00FE1E17" w:rsidRDefault="00FE1E17" w:rsidP="00FE1E17">
      <w:pPr>
        <w:shd w:val="clear" w:color="auto" w:fill="FFFFFF"/>
        <w:spacing w:after="0" w:line="336" w:lineRule="atLeast"/>
        <w:jc w:val="center"/>
        <w:rPr>
          <w:rFonts w:ascii="Verdana" w:eastAsia="Times New Roman" w:hAnsi="Verdana" w:cs="Times New Roman"/>
          <w:color w:val="000000"/>
          <w:sz w:val="20"/>
          <w:szCs w:val="20"/>
          <w:lang w:eastAsia="it-IT"/>
        </w:rPr>
      </w:pPr>
      <w:bookmarkStart w:id="0" w:name="_GoBack"/>
      <w:bookmarkEnd w:id="0"/>
      <w:r w:rsidRPr="00FE1E17">
        <w:rPr>
          <w:rFonts w:ascii="Arial" w:eastAsia="Times New Roman" w:hAnsi="Arial" w:cs="Arial"/>
          <w:color w:val="FF0000"/>
          <w:sz w:val="72"/>
          <w:szCs w:val="72"/>
          <w:lang w:eastAsia="it-IT"/>
        </w:rPr>
        <w:t>Domande di utilizzazione ed assegnazione provvisoria per l’a.s. 2015/2016</w:t>
      </w:r>
    </w:p>
    <w:p w:rsidR="00FE1E17" w:rsidRPr="00FE1E17" w:rsidRDefault="00FE1E17" w:rsidP="00FE1E17">
      <w:pPr>
        <w:shd w:val="clear" w:color="auto" w:fill="FFFFFF"/>
        <w:spacing w:after="0" w:line="240" w:lineRule="auto"/>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 </w:t>
      </w:r>
    </w:p>
    <w:p w:rsidR="00FE1E17" w:rsidRPr="00FE1E17" w:rsidRDefault="00FE1E17" w:rsidP="00FE1E17">
      <w:pPr>
        <w:shd w:val="clear" w:color="auto" w:fill="FFFFFF"/>
        <w:spacing w:after="0" w:line="240" w:lineRule="auto"/>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 </w:t>
      </w:r>
    </w:p>
    <w:p w:rsidR="00FE1E17" w:rsidRPr="00FE1E17" w:rsidRDefault="00FE1E17" w:rsidP="00FE1E17">
      <w:pPr>
        <w:shd w:val="clear" w:color="auto" w:fill="FFFFFF"/>
        <w:spacing w:after="0" w:line="240" w:lineRule="auto"/>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 </w:t>
      </w:r>
    </w:p>
    <w:p w:rsidR="00FE1E17" w:rsidRPr="00FE1E17" w:rsidRDefault="00FE1E17" w:rsidP="00FE1E17">
      <w:pPr>
        <w:shd w:val="clear" w:color="auto" w:fill="FFFFFF"/>
        <w:spacing w:after="0" w:line="240" w:lineRule="auto"/>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Il Miur – nelle more dell’autorizzazione che il Ministero della Funzione pubblica dovrebbe dare, di concerto con il Mef,  </w:t>
      </w:r>
      <w:hyperlink r:id="rId5" w:history="1">
        <w:r w:rsidRPr="00FE1E17">
          <w:rPr>
            <w:rFonts w:ascii="Arial" w:eastAsia="Times New Roman" w:hAnsi="Arial" w:cs="Arial"/>
            <w:color w:val="113A6D"/>
            <w:sz w:val="27"/>
            <w:szCs w:val="27"/>
            <w:u w:val="single"/>
            <w:lang w:eastAsia="it-IT"/>
          </w:rPr>
          <w:t>all’Ipotesi di Contratto Collettivo Nazionale Integrativo relativo alle utilizzazioni ed assegnazioni provvisorie per l’anno scolastico 2015/2016</w:t>
        </w:r>
      </w:hyperlink>
      <w:r w:rsidRPr="00FE1E17">
        <w:rPr>
          <w:rFonts w:ascii="Arial" w:eastAsia="Times New Roman" w:hAnsi="Arial" w:cs="Arial"/>
          <w:color w:val="000000"/>
          <w:sz w:val="27"/>
          <w:szCs w:val="27"/>
          <w:lang w:eastAsia="it-IT"/>
        </w:rPr>
        <w:t>, siglato il 13 maggio 2015 - ha predisposto le date di scadenza di presentazione delle domande relative alle utilizzazioni e assegnazioni provvisorie per l’a.s. 2015/2016.</w:t>
      </w:r>
    </w:p>
    <w:p w:rsidR="00FE1E17" w:rsidRPr="00FE1E17" w:rsidRDefault="00FE1E17" w:rsidP="00FE1E17">
      <w:pPr>
        <w:shd w:val="clear" w:color="auto" w:fill="FFFFFF"/>
        <w:spacing w:after="0" w:line="240" w:lineRule="auto"/>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La </w:t>
      </w:r>
      <w:hyperlink r:id="rId6" w:history="1">
        <w:r w:rsidRPr="00FE1E17">
          <w:rPr>
            <w:rFonts w:ascii="Arial" w:eastAsia="Times New Roman" w:hAnsi="Arial" w:cs="Arial"/>
            <w:color w:val="113A6D"/>
            <w:sz w:val="27"/>
            <w:szCs w:val="27"/>
            <w:u w:val="single"/>
            <w:lang w:eastAsia="it-IT"/>
          </w:rPr>
          <w:t>Nota prot.15379 del 19 maggio 2015</w:t>
        </w:r>
      </w:hyperlink>
      <w:r w:rsidRPr="00FE1E17">
        <w:rPr>
          <w:rFonts w:ascii="Arial" w:eastAsia="Times New Roman" w:hAnsi="Arial" w:cs="Arial"/>
          <w:color w:val="000000"/>
          <w:sz w:val="27"/>
          <w:szCs w:val="27"/>
          <w:lang w:eastAsia="it-IT"/>
        </w:rPr>
        <w:t> invita tutti i docenti di religione a tempo indeterminato interessati a presentare le domande di utilizzazione e assegnazione provvisoria </w:t>
      </w:r>
      <w:r w:rsidRPr="00FE1E17">
        <w:rPr>
          <w:rFonts w:ascii="Arial" w:eastAsia="Times New Roman" w:hAnsi="Arial" w:cs="Arial"/>
          <w:b/>
          <w:bCs/>
          <w:color w:val="000000"/>
          <w:sz w:val="27"/>
          <w:szCs w:val="27"/>
          <w:lang w:eastAsia="it-IT"/>
        </w:rPr>
        <w:t>dal 1° al 15 luglio 2015</w:t>
      </w:r>
      <w:r w:rsidRPr="00FE1E17">
        <w:rPr>
          <w:rFonts w:ascii="Arial" w:eastAsia="Times New Roman" w:hAnsi="Arial" w:cs="Arial"/>
          <w:color w:val="000000"/>
          <w:sz w:val="27"/>
          <w:szCs w:val="27"/>
          <w:lang w:eastAsia="it-IT"/>
        </w:rPr>
        <w:t> (entro e NON oltre il 15 luglio 2015), utilizzando i modelli UR1 o UR2.</w:t>
      </w:r>
    </w:p>
    <w:p w:rsidR="00FE1E17" w:rsidRPr="00FE1E17" w:rsidRDefault="00FE1E17" w:rsidP="00FE1E17">
      <w:pPr>
        <w:shd w:val="clear" w:color="auto" w:fill="FFFFFF"/>
        <w:spacing w:after="0" w:line="240" w:lineRule="auto"/>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L’IPOTESI di CCNI trasmessa agli Uffici Scolastici regionali con la suddetta nota permetterà  agli insegnati di religione di ruolo, a domanda, di essere “utilizzati” in ALTRO ISTITUTO nello stesso settore della propria diocesi o di ottenere “assegnazione provvisoria” in altra diocesi.</w:t>
      </w:r>
    </w:p>
    <w:p w:rsidR="00FE1E17" w:rsidRPr="00FE1E17" w:rsidRDefault="00FE1E17" w:rsidP="00FE1E17">
      <w:pPr>
        <w:shd w:val="clear" w:color="auto" w:fill="FFFFFF"/>
        <w:spacing w:after="0" w:line="240" w:lineRule="auto"/>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Richiamiamo i punti di maggiore rilievo per i docenti di religione presenti nel CCNI.</w:t>
      </w:r>
    </w:p>
    <w:p w:rsidR="00FE1E17" w:rsidRPr="00FE1E17" w:rsidRDefault="00FE1E17" w:rsidP="00FE1E17">
      <w:pPr>
        <w:numPr>
          <w:ilvl w:val="0"/>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per le utilizzazioni il punteggio formulato dall’Ufficio scolastico regionale nella graduatoria regionale, articolata per ambiti diocesani, è integrato secondo quanto previsto dalle precisazioni di cui </w:t>
      </w:r>
      <w:hyperlink r:id="rId7" w:history="1">
        <w:r w:rsidRPr="00FE1E17">
          <w:rPr>
            <w:rFonts w:ascii="Arial" w:eastAsia="Times New Roman" w:hAnsi="Arial" w:cs="Arial"/>
            <w:color w:val="113A6D"/>
            <w:sz w:val="27"/>
            <w:szCs w:val="27"/>
            <w:u w:val="single"/>
            <w:lang w:eastAsia="it-IT"/>
          </w:rPr>
          <w:t>all’art.1, comma 6 dell’Ipotesi di CCNI sulle utilizzazioni e assegnazioni provvisorie per l'a.s. 2015/2016</w:t>
        </w:r>
      </w:hyperlink>
      <w:r w:rsidRPr="00FE1E17">
        <w:rPr>
          <w:rFonts w:ascii="Arial" w:eastAsia="Times New Roman" w:hAnsi="Arial" w:cs="Arial"/>
          <w:color w:val="000000"/>
          <w:sz w:val="27"/>
          <w:szCs w:val="27"/>
          <w:lang w:eastAsia="it-IT"/>
        </w:rPr>
        <w:t> ; (cioè: valutazione dell'anno scolastico in corso; comune di residenza dei familiari; età dei figli; maggiore anzianità anagrafica);</w:t>
      </w:r>
    </w:p>
    <w:p w:rsidR="00FE1E17" w:rsidRPr="00FE1E17" w:rsidRDefault="00FE1E17" w:rsidP="00FE1E17">
      <w:pPr>
        <w:numPr>
          <w:ilvl w:val="0"/>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per la graduatoria regionale su base diocesana </w:t>
      </w:r>
      <w:hyperlink r:id="rId8" w:history="1">
        <w:r w:rsidRPr="00FE1E17">
          <w:rPr>
            <w:rFonts w:ascii="Arial" w:eastAsia="Times New Roman" w:hAnsi="Arial" w:cs="Arial"/>
            <w:color w:val="113A6D"/>
            <w:sz w:val="27"/>
            <w:szCs w:val="27"/>
            <w:u w:val="single"/>
            <w:lang w:eastAsia="it-IT"/>
          </w:rPr>
          <w:t>l'O.M. n.8/2015 </w:t>
        </w:r>
      </w:hyperlink>
      <w:r w:rsidRPr="00FE1E17">
        <w:rPr>
          <w:rFonts w:ascii="Arial" w:eastAsia="Times New Roman" w:hAnsi="Arial" w:cs="Arial"/>
          <w:color w:val="000000"/>
          <w:sz w:val="27"/>
          <w:szCs w:val="27"/>
          <w:lang w:eastAsia="it-IT"/>
        </w:rPr>
        <w:t>ha chiarito che il punteggio per il ricongiungimento al coniuge NON può essere attribuito; nelle utilizzazioni e nelle assegnazioni provvisorie tale punteggio viene invece attribuito, a patto che il coniuge o il familiare risieda nel comune richiesto da almeno tre mesi.</w:t>
      </w:r>
    </w:p>
    <w:p w:rsidR="00FE1E17" w:rsidRPr="00FE1E17" w:rsidRDefault="00FE1E17" w:rsidP="00FE1E17">
      <w:pPr>
        <w:numPr>
          <w:ilvl w:val="0"/>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per le  assegnazioni provvisorie il punteggio per ricongiungimento al coniuge è riconosciuto per le scuole comprese nel comune di ricongiungimento (</w:t>
      </w:r>
      <w:hyperlink r:id="rId9" w:history="1">
        <w:r w:rsidRPr="00FE1E17">
          <w:rPr>
            <w:rFonts w:ascii="Arial" w:eastAsia="Times New Roman" w:hAnsi="Arial" w:cs="Arial"/>
            <w:color w:val="113A6D"/>
            <w:sz w:val="27"/>
            <w:szCs w:val="27"/>
            <w:u w:val="single"/>
            <w:lang w:eastAsia="it-IT"/>
          </w:rPr>
          <w:t>Nota 7 Allegato 2 - Tabella per le assegnazioni provvisorie del personale docente ed educativo</w:t>
        </w:r>
      </w:hyperlink>
      <w:r w:rsidRPr="00FE1E17">
        <w:rPr>
          <w:rFonts w:ascii="Arial" w:eastAsia="Times New Roman" w:hAnsi="Arial" w:cs="Arial"/>
          <w:color w:val="000000"/>
          <w:sz w:val="27"/>
          <w:szCs w:val="27"/>
          <w:lang w:eastAsia="it-IT"/>
        </w:rPr>
        <w:t>).</w:t>
      </w:r>
    </w:p>
    <w:p w:rsidR="00FE1E17" w:rsidRPr="00FE1E17" w:rsidRDefault="00FE1E17" w:rsidP="00FE1E17">
      <w:pPr>
        <w:numPr>
          <w:ilvl w:val="0"/>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 xml:space="preserve">Per l’a.s. 2015/2016  i docenti di religione che richiedono l’utilizzazione per rientrare nella sede in cui prestavano servizio nell’a.s. 2012/2013 o 2013/2014  fruiscono della precedenza di cui all’art. 8 comma 1, punto II </w:t>
      </w:r>
      <w:r w:rsidRPr="00FE1E17">
        <w:rPr>
          <w:rFonts w:ascii="Arial" w:eastAsia="Times New Roman" w:hAnsi="Arial" w:cs="Arial"/>
          <w:color w:val="000000"/>
          <w:sz w:val="27"/>
          <w:szCs w:val="27"/>
          <w:lang w:eastAsia="it-IT"/>
        </w:rPr>
        <w:lastRenderedPageBreak/>
        <w:t>dell’Ipotesi di  CCNI sulle utilizzazioni e assegnazioni provvisorie (</w:t>
      </w:r>
      <w:hyperlink r:id="rId10" w:history="1">
        <w:r w:rsidRPr="00FE1E17">
          <w:rPr>
            <w:rFonts w:ascii="Arial" w:eastAsia="Times New Roman" w:hAnsi="Arial" w:cs="Arial"/>
            <w:color w:val="113A6D"/>
            <w:sz w:val="27"/>
            <w:szCs w:val="27"/>
            <w:u w:val="single"/>
            <w:lang w:eastAsia="it-IT"/>
          </w:rPr>
          <w:t>art. 4 comma 3 dell’Ipotesi di  CCNI sulle utilizzazioni e assegnazioni provvisorie</w:t>
        </w:r>
      </w:hyperlink>
      <w:r w:rsidRPr="00FE1E17">
        <w:rPr>
          <w:rFonts w:ascii="Arial" w:eastAsia="Times New Roman" w:hAnsi="Arial" w:cs="Arial"/>
          <w:color w:val="000000"/>
          <w:sz w:val="27"/>
          <w:szCs w:val="27"/>
          <w:lang w:eastAsia="it-IT"/>
        </w:rPr>
        <w:t>).</w:t>
      </w:r>
    </w:p>
    <w:p w:rsidR="00FE1E17" w:rsidRPr="00FE1E17" w:rsidRDefault="00FE1E17" w:rsidP="00FE1E17">
      <w:pPr>
        <w:numPr>
          <w:ilvl w:val="0"/>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I docenti di religione di ruolo sono confermati nella stessa sede di servizio; cioè NON occorre una riconferma annuale sulla sede di servizio (</w:t>
      </w:r>
      <w:hyperlink r:id="rId11" w:history="1">
        <w:r w:rsidRPr="00FE1E17">
          <w:rPr>
            <w:rFonts w:ascii="Arial" w:eastAsia="Times New Roman" w:hAnsi="Arial" w:cs="Arial"/>
            <w:color w:val="113A6D"/>
            <w:sz w:val="27"/>
            <w:szCs w:val="27"/>
            <w:u w:val="single"/>
            <w:lang w:eastAsia="it-IT"/>
          </w:rPr>
          <w:t>art.2, comma 10  dell’Ipotesi di CCNI sulle utilizzazioni e assegnazioni provvisorie per l’a.s. 2015/2016</w:t>
        </w:r>
      </w:hyperlink>
      <w:r w:rsidRPr="00FE1E17">
        <w:rPr>
          <w:rFonts w:ascii="Arial" w:eastAsia="Times New Roman" w:hAnsi="Arial" w:cs="Arial"/>
          <w:color w:val="000000"/>
          <w:sz w:val="27"/>
          <w:szCs w:val="27"/>
          <w:lang w:eastAsia="it-IT"/>
        </w:rPr>
        <w:t>).</w:t>
      </w:r>
    </w:p>
    <w:p w:rsidR="00FE1E17" w:rsidRPr="00FE1E17" w:rsidRDefault="00FE1E17" w:rsidP="00FE1E17">
      <w:pPr>
        <w:numPr>
          <w:ilvl w:val="0"/>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I docenti di religione di ruolo, qualora siano perdenti ore/posto, rimangono in servizio in altra scuola della stessa diocesi (</w:t>
      </w:r>
      <w:hyperlink r:id="rId12" w:history="1">
        <w:r w:rsidRPr="00FE1E17">
          <w:rPr>
            <w:rFonts w:ascii="Arial" w:eastAsia="Times New Roman" w:hAnsi="Arial" w:cs="Arial"/>
            <w:color w:val="113A6D"/>
            <w:sz w:val="27"/>
            <w:szCs w:val="27"/>
            <w:u w:val="single"/>
            <w:lang w:eastAsia="it-IT"/>
          </w:rPr>
          <w:t>Nota prot. 6747 del 15 luglio 2010</w:t>
        </w:r>
      </w:hyperlink>
      <w:r w:rsidRPr="00FE1E17">
        <w:rPr>
          <w:rFonts w:ascii="Arial" w:eastAsia="Times New Roman" w:hAnsi="Arial" w:cs="Arial"/>
          <w:color w:val="000000"/>
          <w:sz w:val="27"/>
          <w:szCs w:val="27"/>
          <w:lang w:eastAsia="it-IT"/>
        </w:rPr>
        <w:t>).</w:t>
      </w:r>
    </w:p>
    <w:p w:rsidR="00FE1E17" w:rsidRPr="00FE1E17" w:rsidRDefault="00FE1E17" w:rsidP="00FE1E17">
      <w:pPr>
        <w:numPr>
          <w:ilvl w:val="0"/>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E’ riconosciuto in modo esplicito ai docenti di religione di ruolo (scuola primaria/infanzia e secondaria di 1° e 2° grado) che trovino nella scuola di titolarità una riduzione dell’orario di insegnamento fino ad un quinto, qualora non completino l’orario nella scuola medesima, di essere utilizzati nella scuola di titolarità, per le ore mancanti (</w:t>
      </w:r>
      <w:hyperlink r:id="rId13" w:history="1">
        <w:r w:rsidRPr="00FE1E17">
          <w:rPr>
            <w:rFonts w:ascii="Arial" w:eastAsia="Times New Roman" w:hAnsi="Arial" w:cs="Arial"/>
            <w:color w:val="113A6D"/>
            <w:sz w:val="27"/>
            <w:szCs w:val="27"/>
            <w:u w:val="single"/>
            <w:lang w:eastAsia="it-IT"/>
          </w:rPr>
          <w:t>art.2, comma 5 dell’Ipotesi di CCNI sulle utilizzazioni e assegnazioni provvisorie per l’a.s. 2015/2016</w:t>
        </w:r>
      </w:hyperlink>
      <w:r w:rsidRPr="00FE1E17">
        <w:rPr>
          <w:rFonts w:ascii="Arial" w:eastAsia="Times New Roman" w:hAnsi="Arial" w:cs="Arial"/>
          <w:color w:val="000000"/>
          <w:sz w:val="27"/>
          <w:szCs w:val="27"/>
          <w:lang w:eastAsia="it-IT"/>
        </w:rPr>
        <w:t>).</w:t>
      </w:r>
    </w:p>
    <w:p w:rsidR="00FE1E17" w:rsidRPr="00FE1E17" w:rsidRDefault="00FE1E17" w:rsidP="00FE1E17">
      <w:pPr>
        <w:numPr>
          <w:ilvl w:val="0"/>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I docenti di religione hanno  la possibilità di completamento cattedra nell’istituto di prevalente servizio, utilizzando le disponibilità orarie sopraggiunte, al fine di evitare, per quanto possibile, cattedre a completamento esterno (</w:t>
      </w:r>
      <w:hyperlink r:id="rId14" w:history="1">
        <w:r w:rsidRPr="00FE1E17">
          <w:rPr>
            <w:rFonts w:ascii="Arial" w:eastAsia="Times New Roman" w:hAnsi="Arial" w:cs="Arial"/>
            <w:color w:val="113A6D"/>
            <w:sz w:val="27"/>
            <w:szCs w:val="27"/>
            <w:u w:val="single"/>
            <w:lang w:eastAsia="it-IT"/>
          </w:rPr>
          <w:t>art.2, comma 5 dell’Ipotesi di CCNI sulle utilizzazioni e assegnazioni provvisorie per l’a.s. 2015/2016</w:t>
        </w:r>
      </w:hyperlink>
      <w:r w:rsidRPr="00FE1E17">
        <w:rPr>
          <w:rFonts w:ascii="Arial" w:eastAsia="Times New Roman" w:hAnsi="Arial" w:cs="Arial"/>
          <w:color w:val="000000"/>
          <w:sz w:val="27"/>
          <w:szCs w:val="27"/>
          <w:lang w:eastAsia="it-IT"/>
        </w:rPr>
        <w:t>).</w:t>
      </w:r>
    </w:p>
    <w:p w:rsidR="00FE1E17" w:rsidRPr="00FE1E17" w:rsidRDefault="00FE1E17" w:rsidP="00FE1E17">
      <w:pPr>
        <w:numPr>
          <w:ilvl w:val="0"/>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I docenti di religione di ruolo che hanno ottenuto l’utilizzazione nello stesso ordine scolastico non devono ripresentare la domanda di utilizzazione (ai fini della conferma sulla sede ottenuta), mentre coloro che sono stati utilizzati in un ordine diverso (ad esempio dalla scuola infanzia/primaria alla secondaria) devono ripresentare domanda di conferma sulla utilizzazione già ottenuta lo scorso anno (</w:t>
      </w:r>
      <w:hyperlink r:id="rId15" w:history="1">
        <w:r w:rsidRPr="00FE1E17">
          <w:rPr>
            <w:rFonts w:ascii="Arial" w:eastAsia="Times New Roman" w:hAnsi="Arial" w:cs="Arial"/>
            <w:color w:val="113A6D"/>
            <w:sz w:val="27"/>
            <w:szCs w:val="27"/>
            <w:u w:val="single"/>
            <w:lang w:eastAsia="it-IT"/>
          </w:rPr>
          <w:t>art. 2, comma 10 dell’Ipotesi di CCNI sulle utilizzazioni e assegnazioni provvisorie per l’a.s. 2015/2016</w:t>
        </w:r>
      </w:hyperlink>
      <w:r w:rsidRPr="00FE1E17">
        <w:rPr>
          <w:rFonts w:ascii="Arial" w:eastAsia="Times New Roman" w:hAnsi="Arial" w:cs="Arial"/>
          <w:color w:val="000000"/>
          <w:sz w:val="27"/>
          <w:szCs w:val="27"/>
          <w:lang w:eastAsia="it-IT"/>
        </w:rPr>
        <w:t>)</w:t>
      </w:r>
    </w:p>
    <w:p w:rsidR="00FE1E17" w:rsidRPr="00FE1E17" w:rsidRDefault="00FE1E17" w:rsidP="00FE1E17">
      <w:pPr>
        <w:numPr>
          <w:ilvl w:val="0"/>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Il punteggio per le utilizzazioni è attribuito sulla base della graduatoria unica regionale su base diocesana - elaborata secondo quanto disposto </w:t>
      </w:r>
      <w:hyperlink r:id="rId16" w:history="1">
        <w:r w:rsidRPr="00FE1E17">
          <w:rPr>
            <w:rFonts w:ascii="Arial" w:eastAsia="Times New Roman" w:hAnsi="Arial" w:cs="Arial"/>
            <w:color w:val="113A6D"/>
            <w:sz w:val="27"/>
            <w:szCs w:val="27"/>
            <w:u w:val="single"/>
            <w:lang w:eastAsia="it-IT"/>
          </w:rPr>
          <w:t>dall’O.M. n. 8 del 20.03.2015</w:t>
        </w:r>
      </w:hyperlink>
      <w:r w:rsidRPr="00FE1E17">
        <w:rPr>
          <w:rFonts w:ascii="Arial" w:eastAsia="Times New Roman" w:hAnsi="Arial" w:cs="Arial"/>
          <w:color w:val="000000"/>
          <w:sz w:val="27"/>
          <w:szCs w:val="27"/>
          <w:lang w:eastAsia="it-IT"/>
        </w:rPr>
        <w:t> - ed eventualmente aggiornato con i nuovi titoli acquisiti entro la data di presentazione della domanda (</w:t>
      </w:r>
      <w:hyperlink r:id="rId17" w:history="1">
        <w:r w:rsidRPr="00FE1E17">
          <w:rPr>
            <w:rFonts w:ascii="Arial" w:eastAsia="Times New Roman" w:hAnsi="Arial" w:cs="Arial"/>
            <w:color w:val="113A6D"/>
            <w:sz w:val="27"/>
            <w:szCs w:val="27"/>
            <w:u w:val="single"/>
            <w:lang w:eastAsia="it-IT"/>
          </w:rPr>
          <w:t>art.1, comma 6 dell’Ipotesi di CCNI sulle utilizzazioni e assegnazioni provvisorie per l’a.s. 2015/2016</w:t>
        </w:r>
      </w:hyperlink>
      <w:r w:rsidRPr="00FE1E17">
        <w:rPr>
          <w:rFonts w:ascii="Arial" w:eastAsia="Times New Roman" w:hAnsi="Arial" w:cs="Arial"/>
          <w:color w:val="000000"/>
          <w:sz w:val="27"/>
          <w:szCs w:val="27"/>
          <w:lang w:eastAsia="it-IT"/>
        </w:rPr>
        <w:t>); dovrà essere conteggiato anche l’anno scolastico in corso e l’eventuale continuità del servizio (vedi scheda e Faq). </w:t>
      </w:r>
    </w:p>
    <w:p w:rsidR="00FE1E17" w:rsidRPr="00FE1E17" w:rsidRDefault="00FE1E17" w:rsidP="00FE1E17">
      <w:pPr>
        <w:numPr>
          <w:ilvl w:val="0"/>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La valutazione dei titoli sarà formulata dai competenti Uffici Scolastici Regionali (o dagli UT provinciali): tale valutazione viene effettuata considerando i titoli posseduti entro il termine previsto per la presentazione delle domande, secondo le tabelle allegate al CCNI concernente la mobilità del personale della scuola, sottoscritto il data 23.02.2015, per le parti relative ai trasferimenti d’ufficio, con le seguenti precisazioni:</w:t>
      </w:r>
    </w:p>
    <w:p w:rsidR="00FE1E17" w:rsidRPr="00FE1E17" w:rsidRDefault="00FE1E17" w:rsidP="00FE1E17">
      <w:pPr>
        <w:numPr>
          <w:ilvl w:val="1"/>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Nei titoli di servizio va valutato anche l’anno scolastico in corso.</w:t>
      </w:r>
    </w:p>
    <w:p w:rsidR="00FE1E17" w:rsidRPr="00FE1E17" w:rsidRDefault="00FE1E17" w:rsidP="00FE1E17">
      <w:pPr>
        <w:numPr>
          <w:ilvl w:val="1"/>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Per ottenere il punteggio per il comune di residenza dei familiari, è necessario che i medesimi vi risiedano effettivamente, con iscrizione anagrafica, da almeno tre mesi dalla data stabilita per la presentazione della domanda.</w:t>
      </w:r>
    </w:p>
    <w:p w:rsidR="00FE1E17" w:rsidRPr="00FE1E17" w:rsidRDefault="00FE1E17" w:rsidP="00FE1E17">
      <w:pPr>
        <w:numPr>
          <w:ilvl w:val="1"/>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L’età dei figli è riferita al 31 dicembre dell’anno in cui si effettuano le utilizzazioni e le assegnazioni provvisorie.</w:t>
      </w:r>
    </w:p>
    <w:p w:rsidR="00FE1E17" w:rsidRPr="00FE1E17" w:rsidRDefault="00FE1E17" w:rsidP="00FE1E17">
      <w:pPr>
        <w:numPr>
          <w:ilvl w:val="1"/>
          <w:numId w:val="1"/>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lastRenderedPageBreak/>
        <w:t>In caso di parità di precedenza e punteggio prevale chi ha maggiore anzianità anagrafica.</w:t>
      </w:r>
    </w:p>
    <w:p w:rsidR="00FE1E17" w:rsidRPr="00FE1E17" w:rsidRDefault="00FE1E17" w:rsidP="00FE1E17">
      <w:pPr>
        <w:numPr>
          <w:ilvl w:val="0"/>
          <w:numId w:val="2"/>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Nei casi di dimensionamento della rete scolastica (</w:t>
      </w:r>
      <w:hyperlink r:id="rId18" w:history="1">
        <w:r w:rsidRPr="00FE1E17">
          <w:rPr>
            <w:rFonts w:ascii="Arial" w:eastAsia="Times New Roman" w:hAnsi="Arial" w:cs="Arial"/>
            <w:color w:val="113A6D"/>
            <w:sz w:val="27"/>
            <w:szCs w:val="27"/>
            <w:u w:val="single"/>
            <w:lang w:eastAsia="it-IT"/>
          </w:rPr>
          <w:t>art. 2, comma 10 dell’Ipotesi di CCNI sulle utilizzazioni e assegnazioni provvisorie per l’a.s. 2015/2016</w:t>
        </w:r>
      </w:hyperlink>
      <w:r w:rsidRPr="00FE1E17">
        <w:rPr>
          <w:rFonts w:ascii="Arial" w:eastAsia="Times New Roman" w:hAnsi="Arial" w:cs="Arial"/>
          <w:color w:val="000000"/>
          <w:sz w:val="27"/>
          <w:szCs w:val="27"/>
          <w:lang w:eastAsia="it-IT"/>
        </w:rPr>
        <w:t>) si applicano le norme previste </w:t>
      </w:r>
      <w:hyperlink r:id="rId19" w:history="1">
        <w:r w:rsidRPr="00FE1E17">
          <w:rPr>
            <w:rFonts w:ascii="Arial" w:eastAsia="Times New Roman" w:hAnsi="Arial" w:cs="Arial"/>
            <w:color w:val="113A6D"/>
            <w:sz w:val="27"/>
            <w:szCs w:val="27"/>
            <w:u w:val="single"/>
            <w:lang w:eastAsia="it-IT"/>
          </w:rPr>
          <w:t>dall’art. 20 del CCNI del 23.02.2015</w:t>
        </w:r>
      </w:hyperlink>
      <w:r w:rsidRPr="00FE1E17">
        <w:rPr>
          <w:rFonts w:ascii="Arial" w:eastAsia="Times New Roman" w:hAnsi="Arial" w:cs="Arial"/>
          <w:color w:val="000000"/>
          <w:sz w:val="27"/>
          <w:szCs w:val="27"/>
          <w:lang w:eastAsia="it-IT"/>
        </w:rPr>
        <w:t>, tenuto conto della graduatoria di cui </w:t>
      </w:r>
      <w:hyperlink r:id="rId20" w:history="1">
        <w:r w:rsidRPr="00FE1E17">
          <w:rPr>
            <w:rFonts w:ascii="Arial" w:eastAsia="Times New Roman" w:hAnsi="Arial" w:cs="Arial"/>
            <w:color w:val="113A6D"/>
            <w:sz w:val="27"/>
            <w:szCs w:val="27"/>
            <w:u w:val="single"/>
            <w:lang w:eastAsia="it-IT"/>
          </w:rPr>
          <w:t>all’art. 10 commi 3 e 4 dell’O.M. n. 8 del 20.03.2015</w:t>
        </w:r>
      </w:hyperlink>
      <w:r w:rsidRPr="00FE1E17">
        <w:rPr>
          <w:rFonts w:ascii="Arial" w:eastAsia="Times New Roman" w:hAnsi="Arial" w:cs="Arial"/>
          <w:color w:val="000000"/>
          <w:sz w:val="27"/>
          <w:szCs w:val="27"/>
          <w:lang w:eastAsia="it-IT"/>
        </w:rPr>
        <w:t>. Per una migliore descrizione della casistica si vedano le Faq e la Guida dedicate alle Unificazioni e Dimensionamenti.</w:t>
      </w:r>
    </w:p>
    <w:p w:rsidR="00FE1E17" w:rsidRPr="00FE1E17" w:rsidRDefault="00FE1E17" w:rsidP="00FE1E17">
      <w:pPr>
        <w:numPr>
          <w:ilvl w:val="0"/>
          <w:numId w:val="2"/>
        </w:numPr>
        <w:shd w:val="clear" w:color="auto" w:fill="FFFFFF"/>
        <w:spacing w:after="0" w:line="240" w:lineRule="auto"/>
        <w:ind w:left="0"/>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Gli uffici scolastici regionali hanno l’obbligo di comunicare alle organizzazioni sindacali, prima dell’avvio delle operazioni di utilizzazione, un quadro complessivo delle disponibilità delle cattedre o posti per l'insegnamento della religione, anche di eventuali disponibilità sopraggiunte (</w:t>
      </w:r>
      <w:hyperlink r:id="rId21" w:history="1">
        <w:r w:rsidRPr="00FE1E17">
          <w:rPr>
            <w:rFonts w:ascii="Arial" w:eastAsia="Times New Roman" w:hAnsi="Arial" w:cs="Arial"/>
            <w:color w:val="113A6D"/>
            <w:sz w:val="27"/>
            <w:szCs w:val="27"/>
            <w:u w:val="single"/>
            <w:lang w:eastAsia="it-IT"/>
          </w:rPr>
          <w:t>art. 4, comma 2 dell’Ipotesi di CCNI sulle utilizzazioni e assegnazioni provvisorie per l’a.s. 2015/2016</w:t>
        </w:r>
      </w:hyperlink>
      <w:r w:rsidRPr="00FE1E17">
        <w:rPr>
          <w:rFonts w:ascii="Arial" w:eastAsia="Times New Roman" w:hAnsi="Arial" w:cs="Arial"/>
          <w:color w:val="000000"/>
          <w:sz w:val="27"/>
          <w:szCs w:val="27"/>
          <w:lang w:eastAsia="it-IT"/>
        </w:rPr>
        <w:t>).</w:t>
      </w:r>
    </w:p>
    <w:p w:rsidR="00FE1E17" w:rsidRPr="00FE1E17" w:rsidRDefault="00FE1E17" w:rsidP="00FE1E17">
      <w:pPr>
        <w:shd w:val="clear" w:color="auto" w:fill="FFFFFF"/>
        <w:spacing w:after="0" w:line="240" w:lineRule="auto"/>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        Da sottolineare inoltre che: il docente di religione interamente utilizzato in altra scuola non a domanda volontaria ma a causa della mancanza di ore sufficienti a costituire la cattedra o il posto, non perde il diritto all’attribuzione del punteggio per la continuità (</w:t>
      </w:r>
      <w:hyperlink r:id="rId22" w:history="1">
        <w:r w:rsidRPr="00FE1E17">
          <w:rPr>
            <w:rFonts w:ascii="Arial" w:eastAsia="Times New Roman" w:hAnsi="Arial" w:cs="Arial"/>
            <w:color w:val="113A6D"/>
            <w:sz w:val="27"/>
            <w:szCs w:val="27"/>
            <w:u w:val="single"/>
            <w:lang w:eastAsia="it-IT"/>
          </w:rPr>
          <w:t>CCNI 23.02.2015 art. 37/bis comma 8</w:t>
        </w:r>
      </w:hyperlink>
      <w:r w:rsidRPr="00FE1E17">
        <w:rPr>
          <w:rFonts w:ascii="Arial" w:eastAsia="Times New Roman" w:hAnsi="Arial" w:cs="Arial"/>
          <w:color w:val="000000"/>
          <w:sz w:val="27"/>
          <w:szCs w:val="27"/>
          <w:lang w:eastAsia="it-IT"/>
        </w:rPr>
        <w:t>).</w:t>
      </w:r>
    </w:p>
    <w:p w:rsidR="00FE1E17" w:rsidRPr="00FE1E17" w:rsidRDefault="00FE1E17" w:rsidP="00FE1E17">
      <w:pPr>
        <w:shd w:val="clear" w:color="auto" w:fill="FFFFFF"/>
        <w:spacing w:after="0" w:line="240" w:lineRule="auto"/>
        <w:rPr>
          <w:rFonts w:ascii="Verdana" w:eastAsia="Times New Roman" w:hAnsi="Verdana" w:cs="Times New Roman"/>
          <w:color w:val="000000"/>
          <w:sz w:val="20"/>
          <w:szCs w:val="20"/>
          <w:lang w:eastAsia="it-IT"/>
        </w:rPr>
      </w:pPr>
      <w:r w:rsidRPr="00FE1E17">
        <w:rPr>
          <w:rFonts w:ascii="Arial" w:eastAsia="Times New Roman" w:hAnsi="Arial" w:cs="Arial"/>
          <w:color w:val="000000"/>
          <w:sz w:val="27"/>
          <w:szCs w:val="27"/>
          <w:lang w:eastAsia="it-IT"/>
        </w:rPr>
        <w:t> </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23" w:history="1">
        <w:r w:rsidR="00FE1E17" w:rsidRPr="00FE1E17">
          <w:rPr>
            <w:rFonts w:ascii="Arial" w:eastAsia="Times New Roman" w:hAnsi="Arial" w:cs="Arial"/>
            <w:color w:val="113A6D"/>
            <w:sz w:val="27"/>
            <w:szCs w:val="27"/>
            <w:u w:val="single"/>
            <w:lang w:eastAsia="it-IT"/>
          </w:rPr>
          <w:t>IPOTESI di CCNI Utilizzazioni e assegnazioni provvisorie per l’a.s. 2015/2016</w:t>
        </w:r>
      </w:hyperlink>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24" w:history="1">
        <w:r w:rsidR="00FE1E17" w:rsidRPr="00FE1E17">
          <w:rPr>
            <w:rFonts w:ascii="Arial" w:eastAsia="Times New Roman" w:hAnsi="Arial" w:cs="Arial"/>
            <w:color w:val="113A6D"/>
            <w:sz w:val="27"/>
            <w:szCs w:val="27"/>
            <w:u w:val="single"/>
            <w:lang w:eastAsia="it-IT"/>
          </w:rPr>
          <w:t>Nota prot. n. 15379  del 19 maggio 2015 - Utilizzazioni ed assegnazioni provvisorie del personale docente, educativo ed A.T.A. per l’anno scolastico 2015/16. Presentazione domande</w:t>
        </w:r>
      </w:hyperlink>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25" w:history="1">
        <w:r w:rsidR="00FE1E17" w:rsidRPr="00FE1E17">
          <w:rPr>
            <w:rFonts w:ascii="Arial" w:eastAsia="Times New Roman" w:hAnsi="Arial" w:cs="Arial"/>
            <w:color w:val="113A6D"/>
            <w:sz w:val="27"/>
            <w:szCs w:val="27"/>
            <w:u w:val="single"/>
            <w:lang w:eastAsia="it-IT"/>
          </w:rPr>
          <w:t>O.M. n. 8 prot.AOOUFGAB186 del 20 marzo 2015. MOBILITA’ DEL PERSONALE DOCENTE DI RELIGIONE CATTOLICA ANNO SCOLASTICO 2015/2016</w:t>
        </w:r>
      </w:hyperlink>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26" w:history="1">
        <w:r w:rsidR="00FE1E17" w:rsidRPr="00FE1E17">
          <w:rPr>
            <w:rFonts w:ascii="Arial" w:eastAsia="Times New Roman" w:hAnsi="Arial" w:cs="Arial"/>
            <w:color w:val="113A6D"/>
            <w:sz w:val="27"/>
            <w:szCs w:val="27"/>
            <w:u w:val="single"/>
            <w:lang w:eastAsia="it-IT"/>
          </w:rPr>
          <w:t>CCNI 23 febbraio 2015. Mobilità del personale Docente e ATA per l´a.s. 2015/16</w:t>
        </w:r>
      </w:hyperlink>
      <w:hyperlink r:id="rId27" w:history="1">
        <w:r w:rsidR="00FE1E17" w:rsidRPr="00FE1E17">
          <w:rPr>
            <w:rFonts w:ascii="Arial" w:eastAsia="Times New Roman" w:hAnsi="Arial" w:cs="Arial"/>
            <w:color w:val="113A6D"/>
            <w:sz w:val="27"/>
            <w:szCs w:val="27"/>
            <w:u w:val="single"/>
            <w:lang w:eastAsia="it-IT"/>
          </w:rPr>
          <w:t>Art. 37 bis del CCNI 23.02.2015 - Mobilità insegnanti di religione cattolica</w:t>
        </w:r>
      </w:hyperlink>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28" w:history="1">
        <w:r w:rsidR="00FE1E17" w:rsidRPr="00FE1E17">
          <w:rPr>
            <w:rFonts w:ascii="Arial" w:eastAsia="Times New Roman" w:hAnsi="Arial" w:cs="Arial"/>
            <w:color w:val="113A6D"/>
            <w:sz w:val="27"/>
            <w:szCs w:val="27"/>
            <w:u w:val="single"/>
            <w:lang w:eastAsia="it-IT"/>
          </w:rPr>
          <w:t>Modello UR1 - Utilizzazioni e assegnazioni provvisorie scuola dell'infanzia/primaria – a.s. 2015/2016</w:t>
        </w:r>
      </w:hyperlink>
      <w:r w:rsidR="00FE1E17" w:rsidRPr="00FE1E17">
        <w:rPr>
          <w:rFonts w:ascii="Arial" w:eastAsia="Times New Roman" w:hAnsi="Arial" w:cs="Arial"/>
          <w:color w:val="000000"/>
          <w:sz w:val="27"/>
          <w:szCs w:val="27"/>
          <w:lang w:eastAsia="it-IT"/>
        </w:rPr>
        <w:t> (il modello contiene un errore nella sezione D, punto 5; appena il Miur invierà il nuovo modello rettificato, sarà nostra cura inserirlo in rete)</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29" w:history="1">
        <w:r w:rsidR="00FE1E17" w:rsidRPr="00FE1E17">
          <w:rPr>
            <w:rFonts w:ascii="Arial" w:eastAsia="Times New Roman" w:hAnsi="Arial" w:cs="Arial"/>
            <w:color w:val="113A6D"/>
            <w:sz w:val="27"/>
            <w:szCs w:val="27"/>
            <w:u w:val="single"/>
            <w:lang w:eastAsia="it-IT"/>
          </w:rPr>
          <w:t>Guida alla compilazione del Modello UR1 - Utilizzazioni e assegnazioni provvisorie scuola dell'infanzia/primaria – a.s. 2015/2016</w:t>
        </w:r>
      </w:hyperlink>
      <w:r w:rsidR="00FE1E17" w:rsidRPr="00FE1E17">
        <w:rPr>
          <w:rFonts w:ascii="Arial" w:eastAsia="Times New Roman" w:hAnsi="Arial" w:cs="Arial"/>
          <w:color w:val="000000"/>
          <w:sz w:val="27"/>
          <w:szCs w:val="27"/>
          <w:lang w:eastAsia="it-IT"/>
        </w:rPr>
        <w:t> (versione 30 giugno 2015)</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30" w:history="1">
        <w:r w:rsidR="00FE1E17" w:rsidRPr="00FE1E17">
          <w:rPr>
            <w:rFonts w:ascii="Arial" w:eastAsia="Times New Roman" w:hAnsi="Arial" w:cs="Arial"/>
            <w:color w:val="113A6D"/>
            <w:sz w:val="27"/>
            <w:szCs w:val="27"/>
            <w:u w:val="single"/>
            <w:lang w:eastAsia="it-IT"/>
          </w:rPr>
          <w:t>Modello UR2 - Utilizzazioni e assegnazioni provvisorie scuola secondaria - a.s. 2015/2016</w:t>
        </w:r>
      </w:hyperlink>
      <w:r w:rsidR="00FE1E17" w:rsidRPr="00FE1E17">
        <w:rPr>
          <w:rFonts w:ascii="Arial" w:eastAsia="Times New Roman" w:hAnsi="Arial" w:cs="Arial"/>
          <w:color w:val="000000"/>
          <w:sz w:val="27"/>
          <w:szCs w:val="27"/>
          <w:lang w:eastAsia="it-IT"/>
        </w:rPr>
        <w:t> (il modello contiene un errore nella sezione D, punto 5; appena il Miur invierà il nuovo modello rettificato, sarà nostra cura inserirlo in rete)</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31" w:history="1">
        <w:r w:rsidR="00FE1E17" w:rsidRPr="00FE1E17">
          <w:rPr>
            <w:rFonts w:ascii="Arial" w:eastAsia="Times New Roman" w:hAnsi="Arial" w:cs="Arial"/>
            <w:color w:val="113A6D"/>
            <w:sz w:val="27"/>
            <w:szCs w:val="27"/>
            <w:u w:val="single"/>
            <w:lang w:eastAsia="it-IT"/>
          </w:rPr>
          <w:t>Guida alla compilazione del Modello UR2 - Utilizzazioni e assegnazioni provvisorie scuola secondaria - a.s. 2015/2016</w:t>
        </w:r>
      </w:hyperlink>
      <w:r w:rsidR="00FE1E17" w:rsidRPr="00FE1E17">
        <w:rPr>
          <w:rFonts w:ascii="Arial" w:eastAsia="Times New Roman" w:hAnsi="Arial" w:cs="Arial"/>
          <w:color w:val="000000"/>
          <w:sz w:val="27"/>
          <w:szCs w:val="27"/>
          <w:lang w:eastAsia="it-IT"/>
        </w:rPr>
        <w:t> (versione 30 giugno 2015)</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32" w:history="1">
        <w:r w:rsidR="00FE1E17" w:rsidRPr="00FE1E17">
          <w:rPr>
            <w:rFonts w:ascii="Arial" w:eastAsia="Times New Roman" w:hAnsi="Arial" w:cs="Arial"/>
            <w:color w:val="113A6D"/>
            <w:sz w:val="27"/>
            <w:szCs w:val="27"/>
            <w:u w:val="single"/>
            <w:lang w:eastAsia="it-IT"/>
          </w:rPr>
          <w:t>FAQ – Frequently Asked Questions - Le risposte alle domande e ai dubbi più frequenti - Utilizzazioni e Assegnazioni Provvisorie – a.s. 2015/2016</w:t>
        </w:r>
      </w:hyperlink>
      <w:r w:rsidR="00FE1E17" w:rsidRPr="00FE1E17">
        <w:rPr>
          <w:rFonts w:ascii="Arial" w:eastAsia="Times New Roman" w:hAnsi="Arial" w:cs="Arial"/>
          <w:color w:val="000000"/>
          <w:sz w:val="27"/>
          <w:szCs w:val="27"/>
          <w:lang w:eastAsia="it-IT"/>
        </w:rPr>
        <w:t> (versione 30 giugno 2015)</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33" w:history="1">
        <w:r w:rsidR="00FE1E17" w:rsidRPr="00FE1E17">
          <w:rPr>
            <w:rFonts w:ascii="Arial" w:eastAsia="Times New Roman" w:hAnsi="Arial" w:cs="Arial"/>
            <w:color w:val="113A6D"/>
            <w:sz w:val="27"/>
            <w:szCs w:val="27"/>
            <w:u w:val="single"/>
            <w:lang w:eastAsia="it-IT"/>
          </w:rPr>
          <w:t>Tabella Valutazione continuità Utilizzazioni 2015/2016</w:t>
        </w:r>
      </w:hyperlink>
      <w:r w:rsidR="00FE1E17" w:rsidRPr="00FE1E17">
        <w:rPr>
          <w:rFonts w:ascii="Arial" w:eastAsia="Times New Roman" w:hAnsi="Arial" w:cs="Arial"/>
          <w:color w:val="000000"/>
          <w:sz w:val="27"/>
          <w:szCs w:val="27"/>
          <w:lang w:eastAsia="it-IT"/>
        </w:rPr>
        <w:t> (versione 30 giugno 2015)</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34" w:history="1">
        <w:r w:rsidR="00FE1E17" w:rsidRPr="00FE1E17">
          <w:rPr>
            <w:rFonts w:ascii="Arial" w:eastAsia="Times New Roman" w:hAnsi="Arial" w:cs="Arial"/>
            <w:color w:val="113A6D"/>
            <w:sz w:val="27"/>
            <w:szCs w:val="27"/>
            <w:u w:val="single"/>
            <w:lang w:eastAsia="it-IT"/>
          </w:rPr>
          <w:t>Guida per l’attuazione dell’art.20 CCNI 23.02.2015 - dimensionamento</w:t>
        </w:r>
      </w:hyperlink>
      <w:r w:rsidR="00FE1E17" w:rsidRPr="00FE1E17">
        <w:rPr>
          <w:rFonts w:ascii="Arial" w:eastAsia="Times New Roman" w:hAnsi="Arial" w:cs="Arial"/>
          <w:color w:val="000000"/>
          <w:sz w:val="27"/>
          <w:szCs w:val="27"/>
          <w:lang w:eastAsia="it-IT"/>
        </w:rPr>
        <w:t> (versione 30 giugno 2015)</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35" w:history="1">
        <w:r w:rsidR="00FE1E17" w:rsidRPr="00FE1E17">
          <w:rPr>
            <w:rFonts w:ascii="Arial" w:eastAsia="Times New Roman" w:hAnsi="Arial" w:cs="Arial"/>
            <w:color w:val="113A6D"/>
            <w:sz w:val="27"/>
            <w:szCs w:val="27"/>
            <w:u w:val="single"/>
            <w:lang w:eastAsia="it-IT"/>
          </w:rPr>
          <w:t>FAQ – Frequently Asked Questions - Unificazioni e dimensionamenti</w:t>
        </w:r>
      </w:hyperlink>
      <w:r w:rsidR="00FE1E17" w:rsidRPr="00FE1E17">
        <w:rPr>
          <w:rFonts w:ascii="Arial" w:eastAsia="Times New Roman" w:hAnsi="Arial" w:cs="Arial"/>
          <w:color w:val="000000"/>
          <w:sz w:val="27"/>
          <w:szCs w:val="27"/>
          <w:lang w:eastAsia="it-IT"/>
        </w:rPr>
        <w:t> (versione 30 giugno 2015)</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36" w:history="1">
        <w:r w:rsidR="00FE1E17" w:rsidRPr="00FE1E17">
          <w:rPr>
            <w:rFonts w:ascii="Arial" w:eastAsia="Times New Roman" w:hAnsi="Arial" w:cs="Arial"/>
            <w:color w:val="113A6D"/>
            <w:sz w:val="27"/>
            <w:szCs w:val="27"/>
            <w:u w:val="single"/>
            <w:lang w:eastAsia="it-IT"/>
          </w:rPr>
          <w:t>Domanda di utilizzazione “a disposizione” nella scuola di titolarità a seguito di riduzione oraria fino ad 1/5 – a.s. 2015/2016</w:t>
        </w:r>
      </w:hyperlink>
      <w:r w:rsidR="00FE1E17" w:rsidRPr="00FE1E17">
        <w:rPr>
          <w:rFonts w:ascii="Arial" w:eastAsia="Times New Roman" w:hAnsi="Arial" w:cs="Arial"/>
          <w:color w:val="000000"/>
          <w:sz w:val="27"/>
          <w:szCs w:val="27"/>
          <w:lang w:eastAsia="it-IT"/>
        </w:rPr>
        <w:t> (versione 30 giugno 2015)</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37" w:history="1">
        <w:r w:rsidR="00FE1E17" w:rsidRPr="00FE1E17">
          <w:rPr>
            <w:rFonts w:ascii="Arial" w:eastAsia="Times New Roman" w:hAnsi="Arial" w:cs="Arial"/>
            <w:color w:val="113A6D"/>
            <w:sz w:val="27"/>
            <w:szCs w:val="27"/>
            <w:u w:val="single"/>
            <w:lang w:eastAsia="it-IT"/>
          </w:rPr>
          <w:t>Domanda di riarticolazione cattedra orario / posto orario (spostamento ore da istituto di completamento in istituto prevalente) – a.s. 2015/2016</w:t>
        </w:r>
      </w:hyperlink>
      <w:r w:rsidR="00FE1E17" w:rsidRPr="00FE1E17">
        <w:rPr>
          <w:rFonts w:ascii="Arial" w:eastAsia="Times New Roman" w:hAnsi="Arial" w:cs="Arial"/>
          <w:color w:val="000000"/>
          <w:sz w:val="27"/>
          <w:szCs w:val="27"/>
          <w:lang w:eastAsia="it-IT"/>
        </w:rPr>
        <w:t> (versione 30 giugno 2015)</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38" w:history="1">
        <w:r w:rsidR="00FE1E17" w:rsidRPr="00FE1E17">
          <w:rPr>
            <w:rFonts w:ascii="Arial" w:eastAsia="Times New Roman" w:hAnsi="Arial" w:cs="Arial"/>
            <w:color w:val="113A6D"/>
            <w:sz w:val="27"/>
            <w:szCs w:val="27"/>
            <w:lang w:eastAsia="it-IT"/>
          </w:rPr>
          <w:t>Domanda di riarticolazione cattedra orario  / posto orario (completamento in altro istituto a seguito riduzione orario – a.s. 2015/2016</w:t>
        </w:r>
      </w:hyperlink>
      <w:r w:rsidR="00FE1E17" w:rsidRPr="00FE1E17">
        <w:rPr>
          <w:rFonts w:ascii="Arial" w:eastAsia="Times New Roman" w:hAnsi="Arial" w:cs="Arial"/>
          <w:color w:val="000000"/>
          <w:sz w:val="27"/>
          <w:szCs w:val="27"/>
          <w:lang w:eastAsia="it-IT"/>
        </w:rPr>
        <w:t> (versione 30 giugno 2015)</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39" w:history="1">
        <w:r w:rsidR="00FE1E17" w:rsidRPr="00FE1E17">
          <w:rPr>
            <w:rFonts w:ascii="Arial" w:eastAsia="Times New Roman" w:hAnsi="Arial" w:cs="Arial"/>
            <w:color w:val="113A6D"/>
            <w:sz w:val="27"/>
            <w:szCs w:val="27"/>
            <w:u w:val="single"/>
            <w:lang w:eastAsia="it-IT"/>
          </w:rPr>
          <w:t>Domanda di riarticolazione cattedra orario esterna / posto orario esterno (spostamento ore tra istituti di completamento) – a.s. 2015/2016</w:t>
        </w:r>
      </w:hyperlink>
      <w:r w:rsidR="00FE1E17" w:rsidRPr="00FE1E17">
        <w:rPr>
          <w:rFonts w:ascii="Arial" w:eastAsia="Times New Roman" w:hAnsi="Arial" w:cs="Arial"/>
          <w:color w:val="000000"/>
          <w:sz w:val="27"/>
          <w:szCs w:val="27"/>
          <w:lang w:eastAsia="it-IT"/>
        </w:rPr>
        <w:t> (versione 30 giugno 2015)</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40" w:history="1">
        <w:r w:rsidR="00FE1E17" w:rsidRPr="00FE1E17">
          <w:rPr>
            <w:rFonts w:ascii="Arial" w:eastAsia="Times New Roman" w:hAnsi="Arial" w:cs="Arial"/>
            <w:color w:val="113A6D"/>
            <w:sz w:val="27"/>
            <w:szCs w:val="27"/>
            <w:u w:val="single"/>
            <w:lang w:eastAsia="it-IT"/>
          </w:rPr>
          <w:t>Domanda di utilizzazione a seguito di Unificazione/ Dimensionamento – a.s. 2015/2016</w:t>
        </w:r>
      </w:hyperlink>
      <w:r w:rsidR="00FE1E17" w:rsidRPr="00FE1E17">
        <w:rPr>
          <w:rFonts w:ascii="Arial" w:eastAsia="Times New Roman" w:hAnsi="Arial" w:cs="Arial"/>
          <w:color w:val="000000"/>
          <w:sz w:val="27"/>
          <w:szCs w:val="27"/>
          <w:lang w:eastAsia="it-IT"/>
        </w:rPr>
        <w:t>(versione 30 giugno 2015)</w:t>
      </w:r>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41" w:history="1">
        <w:r w:rsidR="00FE1E17" w:rsidRPr="00FE1E17">
          <w:rPr>
            <w:rFonts w:ascii="Arial" w:eastAsia="Times New Roman" w:hAnsi="Arial" w:cs="Arial"/>
            <w:color w:val="113A6D"/>
            <w:sz w:val="27"/>
            <w:szCs w:val="27"/>
            <w:u w:val="single"/>
            <w:lang w:eastAsia="it-IT"/>
          </w:rPr>
          <w:t>Pluridichiarazione per fruire della precedenza di cui alla legge 104/92, art. 33 commi 5 e 7 – a.s. 2015/2016</w:t>
        </w:r>
      </w:hyperlink>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42" w:history="1">
        <w:r w:rsidR="00FE1E17" w:rsidRPr="00FE1E17">
          <w:rPr>
            <w:rFonts w:ascii="Arial" w:eastAsia="Times New Roman" w:hAnsi="Arial" w:cs="Arial"/>
            <w:color w:val="113A6D"/>
            <w:sz w:val="27"/>
            <w:szCs w:val="27"/>
            <w:u w:val="single"/>
            <w:lang w:eastAsia="it-IT"/>
          </w:rPr>
          <w:t>Dichiarazione sostitutiva di certificazioni per utilizzazioni – a.s. 2015/2016</w:t>
        </w:r>
      </w:hyperlink>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43" w:history="1">
        <w:r w:rsidR="00FE1E17" w:rsidRPr="00FE1E17">
          <w:rPr>
            <w:rFonts w:ascii="Arial" w:eastAsia="Times New Roman" w:hAnsi="Arial" w:cs="Arial"/>
            <w:color w:val="113A6D"/>
            <w:sz w:val="27"/>
            <w:szCs w:val="27"/>
            <w:u w:val="single"/>
            <w:lang w:eastAsia="it-IT"/>
          </w:rPr>
          <w:t>Dichiarazione sostitutiva di certificazioni per assegnazioni provvisorie – a.s. 2015/2016</w:t>
        </w:r>
      </w:hyperlink>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44" w:history="1">
        <w:r w:rsidR="00FE1E17" w:rsidRPr="00FE1E17">
          <w:rPr>
            <w:rFonts w:ascii="Arial" w:eastAsia="Times New Roman" w:hAnsi="Arial" w:cs="Arial"/>
            <w:color w:val="113A6D"/>
            <w:sz w:val="27"/>
            <w:szCs w:val="27"/>
            <w:u w:val="single"/>
            <w:lang w:eastAsia="it-IT"/>
          </w:rPr>
          <w:t>Bollettino Ufficiale Scuole Statali del Miur</w:t>
        </w:r>
      </w:hyperlink>
    </w:p>
    <w:p w:rsidR="00FE1E17" w:rsidRPr="00FE1E17" w:rsidRDefault="00986DD3" w:rsidP="00FE1E17">
      <w:pPr>
        <w:numPr>
          <w:ilvl w:val="0"/>
          <w:numId w:val="3"/>
        </w:numPr>
        <w:shd w:val="clear" w:color="auto" w:fill="FFFFFF"/>
        <w:spacing w:after="0" w:line="240" w:lineRule="auto"/>
        <w:ind w:left="0"/>
        <w:rPr>
          <w:rFonts w:ascii="Verdana" w:eastAsia="Times New Roman" w:hAnsi="Verdana" w:cs="Times New Roman"/>
          <w:color w:val="000000"/>
          <w:sz w:val="20"/>
          <w:szCs w:val="20"/>
          <w:lang w:eastAsia="it-IT"/>
        </w:rPr>
      </w:pPr>
      <w:hyperlink r:id="rId45" w:history="1">
        <w:r w:rsidR="00FE1E17" w:rsidRPr="00FE1E17">
          <w:rPr>
            <w:rFonts w:ascii="Arial" w:eastAsia="Times New Roman" w:hAnsi="Arial" w:cs="Arial"/>
            <w:color w:val="113A6D"/>
            <w:sz w:val="27"/>
            <w:szCs w:val="27"/>
            <w:u w:val="single"/>
            <w:lang w:eastAsia="it-IT"/>
          </w:rPr>
          <w:t>Elenco delle diocesi</w:t>
        </w:r>
      </w:hyperlink>
    </w:p>
    <w:p w:rsidR="00F946F1" w:rsidRDefault="00F946F1"/>
    <w:sectPr w:rsidR="00F946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5F52"/>
    <w:multiLevelType w:val="multilevel"/>
    <w:tmpl w:val="08EA5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A24C4E"/>
    <w:multiLevelType w:val="multilevel"/>
    <w:tmpl w:val="413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6A2158"/>
    <w:multiLevelType w:val="multilevel"/>
    <w:tmpl w:val="CB9C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94"/>
    <w:rsid w:val="00296994"/>
    <w:rsid w:val="00986DD3"/>
    <w:rsid w:val="00F946F1"/>
    <w:rsid w:val="00FE1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A4938-571F-40F3-8448-6D4842EE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555345">
      <w:bodyDiv w:val="1"/>
      <w:marLeft w:val="0"/>
      <w:marRight w:val="0"/>
      <w:marTop w:val="0"/>
      <w:marBottom w:val="0"/>
      <w:divBdr>
        <w:top w:val="none" w:sz="0" w:space="0" w:color="auto"/>
        <w:left w:val="none" w:sz="0" w:space="0" w:color="auto"/>
        <w:bottom w:val="none" w:sz="0" w:space="0" w:color="auto"/>
        <w:right w:val="none" w:sz="0" w:space="0" w:color="auto"/>
      </w:divBdr>
      <w:divsChild>
        <w:div w:id="1552884442">
          <w:marLeft w:val="0"/>
          <w:marRight w:val="0"/>
          <w:marTop w:val="0"/>
          <w:marBottom w:val="0"/>
          <w:divBdr>
            <w:top w:val="none" w:sz="0" w:space="0" w:color="auto"/>
            <w:left w:val="none" w:sz="0" w:space="0" w:color="auto"/>
            <w:bottom w:val="none" w:sz="0" w:space="0" w:color="auto"/>
            <w:right w:val="none" w:sz="0" w:space="0" w:color="auto"/>
          </w:divBdr>
        </w:div>
        <w:div w:id="705180672">
          <w:marLeft w:val="0"/>
          <w:marRight w:val="0"/>
          <w:marTop w:val="0"/>
          <w:marBottom w:val="0"/>
          <w:divBdr>
            <w:top w:val="none" w:sz="0" w:space="0" w:color="auto"/>
            <w:left w:val="none" w:sz="0" w:space="0" w:color="auto"/>
            <w:bottom w:val="none" w:sz="0" w:space="0" w:color="auto"/>
            <w:right w:val="none" w:sz="0" w:space="0" w:color="auto"/>
          </w:divBdr>
        </w:div>
        <w:div w:id="1808468742">
          <w:marLeft w:val="0"/>
          <w:marRight w:val="0"/>
          <w:marTop w:val="0"/>
          <w:marBottom w:val="0"/>
          <w:divBdr>
            <w:top w:val="none" w:sz="0" w:space="0" w:color="auto"/>
            <w:left w:val="none" w:sz="0" w:space="0" w:color="auto"/>
            <w:bottom w:val="none" w:sz="0" w:space="0" w:color="auto"/>
            <w:right w:val="none" w:sz="0" w:space="0" w:color="auto"/>
          </w:divBdr>
        </w:div>
        <w:div w:id="2131901086">
          <w:marLeft w:val="0"/>
          <w:marRight w:val="0"/>
          <w:marTop w:val="0"/>
          <w:marBottom w:val="0"/>
          <w:divBdr>
            <w:top w:val="none" w:sz="0" w:space="0" w:color="auto"/>
            <w:left w:val="none" w:sz="0" w:space="0" w:color="auto"/>
            <w:bottom w:val="none" w:sz="0" w:space="0" w:color="auto"/>
            <w:right w:val="none" w:sz="0" w:space="0" w:color="auto"/>
          </w:divBdr>
        </w:div>
        <w:div w:id="1776711948">
          <w:marLeft w:val="0"/>
          <w:marRight w:val="0"/>
          <w:marTop w:val="0"/>
          <w:marBottom w:val="0"/>
          <w:divBdr>
            <w:top w:val="none" w:sz="0" w:space="0" w:color="auto"/>
            <w:left w:val="none" w:sz="0" w:space="0" w:color="auto"/>
            <w:bottom w:val="none" w:sz="0" w:space="0" w:color="auto"/>
            <w:right w:val="none" w:sz="0" w:space="0" w:color="auto"/>
          </w:divBdr>
        </w:div>
        <w:div w:id="1780174865">
          <w:marLeft w:val="0"/>
          <w:marRight w:val="0"/>
          <w:marTop w:val="0"/>
          <w:marBottom w:val="0"/>
          <w:divBdr>
            <w:top w:val="none" w:sz="0" w:space="0" w:color="auto"/>
            <w:left w:val="none" w:sz="0" w:space="0" w:color="auto"/>
            <w:bottom w:val="none" w:sz="0" w:space="0" w:color="auto"/>
            <w:right w:val="none" w:sz="0" w:space="0" w:color="auto"/>
          </w:divBdr>
        </w:div>
        <w:div w:id="1093622307">
          <w:marLeft w:val="0"/>
          <w:marRight w:val="0"/>
          <w:marTop w:val="0"/>
          <w:marBottom w:val="0"/>
          <w:divBdr>
            <w:top w:val="none" w:sz="0" w:space="0" w:color="auto"/>
            <w:left w:val="none" w:sz="0" w:space="0" w:color="auto"/>
            <w:bottom w:val="none" w:sz="0" w:space="0" w:color="auto"/>
            <w:right w:val="none" w:sz="0" w:space="0" w:color="auto"/>
          </w:divBdr>
        </w:div>
        <w:div w:id="1394352386">
          <w:marLeft w:val="0"/>
          <w:marRight w:val="0"/>
          <w:marTop w:val="0"/>
          <w:marBottom w:val="0"/>
          <w:divBdr>
            <w:top w:val="none" w:sz="0" w:space="0" w:color="auto"/>
            <w:left w:val="none" w:sz="0" w:space="0" w:color="auto"/>
            <w:bottom w:val="none" w:sz="0" w:space="0" w:color="auto"/>
            <w:right w:val="none" w:sz="0" w:space="0" w:color="auto"/>
          </w:divBdr>
        </w:div>
        <w:div w:id="122927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nadir.it/viewDocument.aspx?id=4649" TargetMode="External"/><Relationship Id="rId18" Type="http://schemas.openxmlformats.org/officeDocument/2006/relationships/hyperlink" Target="http://www.snadir.it/viewDocument.aspx?id=4649" TargetMode="External"/><Relationship Id="rId26" Type="http://schemas.openxmlformats.org/officeDocument/2006/relationships/hyperlink" Target="http://www.snadir.it/viewDocument.aspx?id=4545" TargetMode="External"/><Relationship Id="rId39" Type="http://schemas.openxmlformats.org/officeDocument/2006/relationships/hyperlink" Target="http://www.snadir.it/viewDocument.aspx?id=4700" TargetMode="External"/><Relationship Id="rId21" Type="http://schemas.openxmlformats.org/officeDocument/2006/relationships/hyperlink" Target="http://www.snadir.it/viewDocument.aspx?id=4649" TargetMode="External"/><Relationship Id="rId34" Type="http://schemas.openxmlformats.org/officeDocument/2006/relationships/hyperlink" Target="http://www.snadir.it/viewDocument.aspx?id=4695" TargetMode="External"/><Relationship Id="rId42" Type="http://schemas.openxmlformats.org/officeDocument/2006/relationships/hyperlink" Target="http://www.snadir.it/viewDocument.aspx?id=4704" TargetMode="External"/><Relationship Id="rId47" Type="http://schemas.openxmlformats.org/officeDocument/2006/relationships/theme" Target="theme/theme1.xml"/><Relationship Id="rId7" Type="http://schemas.openxmlformats.org/officeDocument/2006/relationships/hyperlink" Target="http://www.snadir.it/viewDocument.aspx?id=4649" TargetMode="External"/><Relationship Id="rId2" Type="http://schemas.openxmlformats.org/officeDocument/2006/relationships/styles" Target="styles.xml"/><Relationship Id="rId16" Type="http://schemas.openxmlformats.org/officeDocument/2006/relationships/hyperlink" Target="http://www.snadir.it/viewDocument.aspx?id=4567" TargetMode="External"/><Relationship Id="rId29" Type="http://schemas.openxmlformats.org/officeDocument/2006/relationships/hyperlink" Target="http://www.snadir.it/viewDocument.aspx?id=4691" TargetMode="External"/><Relationship Id="rId1" Type="http://schemas.openxmlformats.org/officeDocument/2006/relationships/numbering" Target="numbering.xml"/><Relationship Id="rId6" Type="http://schemas.openxmlformats.org/officeDocument/2006/relationships/hyperlink" Target="http://www.snadir.it/viewDocument.aspx?id=4656" TargetMode="External"/><Relationship Id="rId11" Type="http://schemas.openxmlformats.org/officeDocument/2006/relationships/hyperlink" Target="http://www.snadir.it/viewDocument.aspx?id=4649" TargetMode="External"/><Relationship Id="rId24" Type="http://schemas.openxmlformats.org/officeDocument/2006/relationships/hyperlink" Target="http://www.snadir.it/viewDocument.aspx?id=4656" TargetMode="External"/><Relationship Id="rId32" Type="http://schemas.openxmlformats.org/officeDocument/2006/relationships/hyperlink" Target="http://www.snadir.it/viewDocument.aspx?id=4693" TargetMode="External"/><Relationship Id="rId37" Type="http://schemas.openxmlformats.org/officeDocument/2006/relationships/hyperlink" Target="http://www.snadir.it/viewDocument.aspx?id=4698" TargetMode="External"/><Relationship Id="rId40" Type="http://schemas.openxmlformats.org/officeDocument/2006/relationships/hyperlink" Target="http://www.snadir.it/viewDocument.aspx?id=4701" TargetMode="External"/><Relationship Id="rId45" Type="http://schemas.openxmlformats.org/officeDocument/2006/relationships/hyperlink" Target="http://www.snadir.it/viewDocument.aspx?id=4569" TargetMode="External"/><Relationship Id="rId5" Type="http://schemas.openxmlformats.org/officeDocument/2006/relationships/hyperlink" Target="http://www.snadir.it/viewDocument.aspx?id=4649" TargetMode="External"/><Relationship Id="rId15" Type="http://schemas.openxmlformats.org/officeDocument/2006/relationships/hyperlink" Target="http://www.snadir.it/viewDocument.aspx?id=4649" TargetMode="External"/><Relationship Id="rId23" Type="http://schemas.openxmlformats.org/officeDocument/2006/relationships/hyperlink" Target="http://www.snadir.it/viewDocument.aspx?id=4649" TargetMode="External"/><Relationship Id="rId28" Type="http://schemas.openxmlformats.org/officeDocument/2006/relationships/hyperlink" Target="http://www.snadir.it/viewDocument.aspx?id=4689" TargetMode="External"/><Relationship Id="rId36" Type="http://schemas.openxmlformats.org/officeDocument/2006/relationships/hyperlink" Target="http://www.snadir.it/viewDocument.aspx?id=4697" TargetMode="External"/><Relationship Id="rId10" Type="http://schemas.openxmlformats.org/officeDocument/2006/relationships/hyperlink" Target="http://www.snadir.it/viewDocument.aspx?id=4649" TargetMode="External"/><Relationship Id="rId19" Type="http://schemas.openxmlformats.org/officeDocument/2006/relationships/hyperlink" Target="http://www.snadir.it/viewDocument.aspx?id=4545" TargetMode="External"/><Relationship Id="rId31" Type="http://schemas.openxmlformats.org/officeDocument/2006/relationships/hyperlink" Target="http://www.snadir.it/viewDocument.aspx?id=4692" TargetMode="External"/><Relationship Id="rId44" Type="http://schemas.openxmlformats.org/officeDocument/2006/relationships/hyperlink" Target="http://hubmiur.pubblica.istruzione.it/web/istruzione/bollettini" TargetMode="External"/><Relationship Id="rId4" Type="http://schemas.openxmlformats.org/officeDocument/2006/relationships/webSettings" Target="webSettings.xml"/><Relationship Id="rId9" Type="http://schemas.openxmlformats.org/officeDocument/2006/relationships/hyperlink" Target="http://www.snadir.it/viewDocument.aspx?id=4649" TargetMode="External"/><Relationship Id="rId14" Type="http://schemas.openxmlformats.org/officeDocument/2006/relationships/hyperlink" Target="http://www.snadir.it/viewDocument.aspx?id=4649" TargetMode="External"/><Relationship Id="rId22" Type="http://schemas.openxmlformats.org/officeDocument/2006/relationships/hyperlink" Target="http://www.snadir.it/viewDocument.aspx?id=4575" TargetMode="External"/><Relationship Id="rId27" Type="http://schemas.openxmlformats.org/officeDocument/2006/relationships/hyperlink" Target="http://www.snadir.it/viewDocument.aspx?id=4575" TargetMode="External"/><Relationship Id="rId30" Type="http://schemas.openxmlformats.org/officeDocument/2006/relationships/hyperlink" Target="http://www.snadir.it/viewDocument.aspx?id=4690" TargetMode="External"/><Relationship Id="rId35" Type="http://schemas.openxmlformats.org/officeDocument/2006/relationships/hyperlink" Target="http://www.snadir.it/viewDocument.aspx?id=4696" TargetMode="External"/><Relationship Id="rId43" Type="http://schemas.openxmlformats.org/officeDocument/2006/relationships/hyperlink" Target="http://www.snadir.it/viewDocument.aspx?id=4705" TargetMode="External"/><Relationship Id="rId8" Type="http://schemas.openxmlformats.org/officeDocument/2006/relationships/hyperlink" Target="http://www.snadir.it/viewDocument.aspx?id=4567" TargetMode="External"/><Relationship Id="rId3" Type="http://schemas.openxmlformats.org/officeDocument/2006/relationships/settings" Target="settings.xml"/><Relationship Id="rId12" Type="http://schemas.openxmlformats.org/officeDocument/2006/relationships/hyperlink" Target="http://www.snadir.it/viewDocument.aspx?id=3460" TargetMode="External"/><Relationship Id="rId17" Type="http://schemas.openxmlformats.org/officeDocument/2006/relationships/hyperlink" Target="http://www.snadir.it/viewDocument.aspx?id=4649" TargetMode="External"/><Relationship Id="rId25" Type="http://schemas.openxmlformats.org/officeDocument/2006/relationships/hyperlink" Target="http://www.snadir.it/viewDocument.aspx?id=4567" TargetMode="External"/><Relationship Id="rId33" Type="http://schemas.openxmlformats.org/officeDocument/2006/relationships/hyperlink" Target="http://www.snadir.it/viewDocument.aspx?id=4694" TargetMode="External"/><Relationship Id="rId38" Type="http://schemas.openxmlformats.org/officeDocument/2006/relationships/hyperlink" Target="http://www.snadir.it/viewDocument.aspx?id=4699" TargetMode="External"/><Relationship Id="rId46" Type="http://schemas.openxmlformats.org/officeDocument/2006/relationships/fontTable" Target="fontTable.xml"/><Relationship Id="rId20" Type="http://schemas.openxmlformats.org/officeDocument/2006/relationships/hyperlink" Target="http://www.snadir.it/viewDocument.aspx?id=4567" TargetMode="External"/><Relationship Id="rId41" Type="http://schemas.openxmlformats.org/officeDocument/2006/relationships/hyperlink" Target="http://www.snadir.it/viewDocument.aspx?id=47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emiliana.marino@hotmail.com</cp:lastModifiedBy>
  <cp:revision>2</cp:revision>
  <dcterms:created xsi:type="dcterms:W3CDTF">2015-07-02T08:34:00Z</dcterms:created>
  <dcterms:modified xsi:type="dcterms:W3CDTF">2015-07-02T08:34:00Z</dcterms:modified>
</cp:coreProperties>
</file>